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EC" w:rsidRDefault="003B54EC">
      <w:bookmarkStart w:id="0" w:name="_GoBack"/>
      <w:bookmarkEnd w:id="0"/>
    </w:p>
    <w:p w:rsidR="004977E4" w:rsidRPr="004977E4" w:rsidRDefault="00520F22" w:rsidP="004977E4">
      <w:pPr>
        <w:pStyle w:val="Heading1"/>
        <w:jc w:val="center"/>
        <w:rPr>
          <w:sz w:val="44"/>
          <w:szCs w:val="44"/>
        </w:rPr>
      </w:pPr>
      <w:r>
        <w:rPr>
          <w:sz w:val="44"/>
          <w:szCs w:val="44"/>
        </w:rPr>
        <w:t>‘</w:t>
      </w:r>
      <w:r w:rsidR="004977E4" w:rsidRPr="004977E4">
        <w:rPr>
          <w:sz w:val="44"/>
          <w:szCs w:val="44"/>
        </w:rPr>
        <w:t>Effective Early and Equitable Access– Embedding cancer genomics in the clinic</w:t>
      </w:r>
      <w:r>
        <w:rPr>
          <w:sz w:val="44"/>
          <w:szCs w:val="44"/>
        </w:rPr>
        <w:t>’</w:t>
      </w:r>
    </w:p>
    <w:p w:rsidR="004977E4" w:rsidRDefault="004977E4" w:rsidP="003B54EC">
      <w:pPr>
        <w:jc w:val="center"/>
        <w:rPr>
          <w:b/>
          <w:sz w:val="36"/>
        </w:rPr>
      </w:pPr>
      <w:r w:rsidRPr="004977E4">
        <w:rPr>
          <w:b/>
          <w:sz w:val="36"/>
        </w:rPr>
        <w:t>Friday 12</w:t>
      </w:r>
      <w:r w:rsidRPr="004977E4">
        <w:rPr>
          <w:b/>
          <w:sz w:val="36"/>
          <w:vertAlign w:val="superscript"/>
        </w:rPr>
        <w:t>th</w:t>
      </w:r>
      <w:r w:rsidRPr="004977E4">
        <w:rPr>
          <w:b/>
          <w:sz w:val="36"/>
        </w:rPr>
        <w:t xml:space="preserve"> November 2021 </w:t>
      </w:r>
    </w:p>
    <w:p w:rsidR="001C30FF" w:rsidRPr="00520F22" w:rsidRDefault="001C30FF" w:rsidP="008320AB">
      <w:pPr>
        <w:rPr>
          <w:i/>
          <w:sz w:val="28"/>
          <w:szCs w:val="28"/>
        </w:rPr>
      </w:pPr>
      <w:r w:rsidRPr="001C30FF">
        <w:rPr>
          <w:sz w:val="28"/>
          <w:szCs w:val="28"/>
        </w:rPr>
        <w:t>We would like to invite you to this informative educational event, hosted by South West Genomics Laboratory Hub</w:t>
      </w:r>
      <w:r w:rsidR="00DA5067">
        <w:rPr>
          <w:sz w:val="28"/>
          <w:szCs w:val="28"/>
        </w:rPr>
        <w:t xml:space="preserve"> and SWAG Cancer Alliance</w:t>
      </w:r>
      <w:r w:rsidRPr="001C30FF">
        <w:rPr>
          <w:sz w:val="28"/>
          <w:szCs w:val="28"/>
        </w:rPr>
        <w:t xml:space="preserve"> in collaboration with South West Genomic Medicine Service Alliance </w:t>
      </w:r>
      <w:r w:rsidR="00DA5067">
        <w:rPr>
          <w:sz w:val="28"/>
          <w:szCs w:val="28"/>
        </w:rPr>
        <w:t>and Peninsula Cancer Alliance, supported by Roche.</w:t>
      </w:r>
    </w:p>
    <w:p w:rsidR="003B54EC" w:rsidRPr="00520F22" w:rsidRDefault="004977E4" w:rsidP="008320AB">
      <w:pPr>
        <w:rPr>
          <w:b/>
          <w:i/>
          <w:color w:val="0070C0"/>
          <w:sz w:val="28"/>
          <w:szCs w:val="28"/>
        </w:rPr>
      </w:pPr>
      <w:r w:rsidRPr="00520F22">
        <w:rPr>
          <w:b/>
          <w:i/>
          <w:color w:val="0070C0"/>
          <w:sz w:val="28"/>
          <w:szCs w:val="28"/>
        </w:rPr>
        <w:t>Lunch-Late</w:t>
      </w:r>
      <w:r w:rsidR="00BA48FE" w:rsidRPr="00520F22">
        <w:rPr>
          <w:b/>
          <w:i/>
          <w:color w:val="0070C0"/>
          <w:sz w:val="28"/>
          <w:szCs w:val="28"/>
        </w:rPr>
        <w:t xml:space="preserve"> </w:t>
      </w:r>
      <w:r w:rsidRPr="00520F22">
        <w:rPr>
          <w:b/>
          <w:i/>
          <w:color w:val="0070C0"/>
          <w:sz w:val="28"/>
          <w:szCs w:val="28"/>
        </w:rPr>
        <w:t>~</w:t>
      </w:r>
      <w:r w:rsidRPr="00520F22">
        <w:rPr>
          <w:i/>
          <w:color w:val="0070C0"/>
          <w:sz w:val="28"/>
          <w:szCs w:val="28"/>
        </w:rPr>
        <w:t xml:space="preserve"> Day Delegation – </w:t>
      </w:r>
      <w:r w:rsidRPr="00520F22">
        <w:rPr>
          <w:b/>
          <w:i/>
          <w:color w:val="0070C0"/>
          <w:sz w:val="28"/>
          <w:szCs w:val="28"/>
        </w:rPr>
        <w:t>midday through 5pm</w:t>
      </w:r>
      <w:r w:rsidRPr="00520F22">
        <w:rPr>
          <w:i/>
          <w:color w:val="0070C0"/>
          <w:sz w:val="28"/>
          <w:szCs w:val="28"/>
        </w:rPr>
        <w:t xml:space="preserve"> and option of </w:t>
      </w:r>
      <w:r w:rsidRPr="00520F22">
        <w:rPr>
          <w:b/>
          <w:i/>
          <w:color w:val="0070C0"/>
          <w:sz w:val="28"/>
          <w:szCs w:val="28"/>
        </w:rPr>
        <w:t>evening Delegation with meal 6pm</w:t>
      </w:r>
    </w:p>
    <w:p w:rsidR="003B54EC" w:rsidRPr="00520F22" w:rsidRDefault="004977E4" w:rsidP="008320AB">
      <w:pPr>
        <w:rPr>
          <w:b/>
          <w:i/>
          <w:color w:val="0070C0"/>
          <w:sz w:val="28"/>
          <w:szCs w:val="28"/>
        </w:rPr>
      </w:pPr>
      <w:r w:rsidRPr="00520F22">
        <w:rPr>
          <w:b/>
          <w:i/>
          <w:color w:val="0070C0"/>
          <w:sz w:val="28"/>
          <w:szCs w:val="28"/>
        </w:rPr>
        <w:t xml:space="preserve">In person at Bristol Hotel (venue tbc) </w:t>
      </w:r>
      <w:r w:rsidRPr="00520F22">
        <w:rPr>
          <w:i/>
          <w:color w:val="0070C0"/>
          <w:sz w:val="28"/>
          <w:szCs w:val="28"/>
        </w:rPr>
        <w:t xml:space="preserve">with option of </w:t>
      </w:r>
      <w:r w:rsidRPr="00520F22">
        <w:rPr>
          <w:b/>
          <w:i/>
          <w:color w:val="0070C0"/>
          <w:sz w:val="28"/>
          <w:szCs w:val="28"/>
        </w:rPr>
        <w:t>v</w:t>
      </w:r>
      <w:r w:rsidR="003B54EC" w:rsidRPr="00520F22">
        <w:rPr>
          <w:b/>
          <w:i/>
          <w:color w:val="0070C0"/>
          <w:sz w:val="28"/>
          <w:szCs w:val="28"/>
        </w:rPr>
        <w:t xml:space="preserve">irtual </w:t>
      </w:r>
      <w:r w:rsidRPr="00520F22">
        <w:rPr>
          <w:b/>
          <w:i/>
          <w:color w:val="0070C0"/>
          <w:sz w:val="28"/>
          <w:szCs w:val="28"/>
        </w:rPr>
        <w:t>attendance by videoconference</w:t>
      </w:r>
    </w:p>
    <w:p w:rsidR="00944066" w:rsidRDefault="001C30FF" w:rsidP="008320AB">
      <w:pPr>
        <w:rPr>
          <w:sz w:val="28"/>
          <w:szCs w:val="28"/>
        </w:rPr>
      </w:pPr>
      <w:r w:rsidRPr="001C30FF">
        <w:rPr>
          <w:sz w:val="28"/>
          <w:szCs w:val="28"/>
        </w:rPr>
        <w:t>I</w:t>
      </w:r>
      <w:r w:rsidR="00944066" w:rsidRPr="001C30FF">
        <w:rPr>
          <w:sz w:val="28"/>
          <w:szCs w:val="28"/>
        </w:rPr>
        <w:t>t is aimed at the multi-professional Cancer Teams based in the South West</w:t>
      </w:r>
      <w:r>
        <w:rPr>
          <w:sz w:val="28"/>
          <w:szCs w:val="28"/>
        </w:rPr>
        <w:t>.</w:t>
      </w:r>
    </w:p>
    <w:p w:rsidR="001C30FF" w:rsidRDefault="001C30FF" w:rsidP="008320AB">
      <w:pPr>
        <w:rPr>
          <w:sz w:val="28"/>
          <w:szCs w:val="28"/>
        </w:rPr>
      </w:pPr>
      <w:r w:rsidRPr="00520F22">
        <w:rPr>
          <w:b/>
          <w:sz w:val="28"/>
          <w:szCs w:val="28"/>
        </w:rPr>
        <w:t xml:space="preserve">Topics </w:t>
      </w:r>
      <w:r w:rsidR="00520F22">
        <w:rPr>
          <w:b/>
          <w:sz w:val="28"/>
          <w:szCs w:val="28"/>
        </w:rPr>
        <w:t>on the day</w:t>
      </w:r>
      <w:r>
        <w:rPr>
          <w:sz w:val="28"/>
          <w:szCs w:val="28"/>
        </w:rPr>
        <w:t xml:space="preserve">, </w:t>
      </w:r>
      <w:r w:rsidR="00520F22">
        <w:rPr>
          <w:sz w:val="28"/>
          <w:szCs w:val="28"/>
        </w:rPr>
        <w:t>full confirmed agenda will be available at time of enolment</w:t>
      </w:r>
    </w:p>
    <w:p w:rsidR="001C30FF" w:rsidRDefault="001C30FF" w:rsidP="001C30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Navigating Genomic Services and the  </w:t>
      </w:r>
      <w:hyperlink r:id="rId7" w:history="1">
        <w:r w:rsidRPr="001C30FF">
          <w:rPr>
            <w:rStyle w:val="Hyperlink"/>
            <w:sz w:val="28"/>
            <w:szCs w:val="28"/>
          </w:rPr>
          <w:t>National Genomic Test Directory</w:t>
        </w:r>
      </w:hyperlink>
    </w:p>
    <w:p w:rsidR="001C30FF" w:rsidRDefault="001C30FF" w:rsidP="001C30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Genomics 101 – what does my Genomic Report mean?</w:t>
      </w:r>
    </w:p>
    <w:p w:rsidR="001C30FF" w:rsidRDefault="001C30FF" w:rsidP="001C30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ctDNA –what does this mean for the patient?</w:t>
      </w:r>
    </w:p>
    <w:p w:rsidR="001C30FF" w:rsidRDefault="001C30FF" w:rsidP="001C30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Clinical Utility by case study</w:t>
      </w:r>
    </w:p>
    <w:p w:rsidR="001C30FF" w:rsidRDefault="001C30FF" w:rsidP="001C30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patient perspective</w:t>
      </w:r>
    </w:p>
    <w:p w:rsidR="001C30FF" w:rsidRDefault="002D17DE" w:rsidP="001C30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Evening Meal – the future – meet the SWGLH and SWGMSA team</w:t>
      </w:r>
    </w:p>
    <w:p w:rsidR="008320AB" w:rsidRPr="001C30FF" w:rsidRDefault="008320AB" w:rsidP="008320AB">
      <w:pPr>
        <w:jc w:val="center"/>
        <w:rPr>
          <w:i/>
          <w:sz w:val="28"/>
          <w:szCs w:val="28"/>
        </w:rPr>
      </w:pPr>
      <w:r w:rsidRPr="00520F22">
        <w:rPr>
          <w:b/>
          <w:i/>
          <w:color w:val="0070C0"/>
          <w:sz w:val="28"/>
          <w:szCs w:val="28"/>
        </w:rPr>
        <w:t>Please</w:t>
      </w:r>
      <w:r w:rsidRPr="00520F22">
        <w:rPr>
          <w:b/>
          <w:i/>
          <w:sz w:val="28"/>
          <w:szCs w:val="28"/>
        </w:rPr>
        <w:t xml:space="preserve"> </w:t>
      </w:r>
      <w:r w:rsidRPr="00520F22">
        <w:rPr>
          <w:b/>
          <w:i/>
          <w:color w:val="0070C0"/>
          <w:sz w:val="28"/>
          <w:szCs w:val="28"/>
        </w:rPr>
        <w:t>save the date!</w:t>
      </w:r>
      <w:r w:rsidRPr="00520F22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An Eventbrite link will be circulated for enrolment; if you require further information </w:t>
      </w:r>
      <w:r w:rsidRPr="001C30FF">
        <w:rPr>
          <w:i/>
          <w:sz w:val="28"/>
          <w:szCs w:val="28"/>
        </w:rPr>
        <w:t xml:space="preserve">at this time please email </w:t>
      </w:r>
      <w:hyperlink r:id="rId8" w:history="1">
        <w:r w:rsidRPr="001C30FF">
          <w:rPr>
            <w:rStyle w:val="Hyperlink"/>
            <w:i/>
            <w:sz w:val="28"/>
            <w:szCs w:val="28"/>
          </w:rPr>
          <w:t>melanie.watson@nbt.nhs.uk</w:t>
        </w:r>
      </w:hyperlink>
      <w:r w:rsidRPr="001C30FF">
        <w:rPr>
          <w:i/>
          <w:sz w:val="28"/>
          <w:szCs w:val="28"/>
        </w:rPr>
        <w:t xml:space="preserve"> , GLH education lead</w:t>
      </w:r>
    </w:p>
    <w:p w:rsidR="008320AB" w:rsidRDefault="00520F22" w:rsidP="00520F22">
      <w:pPr>
        <w:pStyle w:val="Default"/>
      </w:pPr>
      <w:r>
        <w:tab/>
      </w:r>
    </w:p>
    <w:p w:rsidR="00944066" w:rsidRDefault="0031298B" w:rsidP="002D17DE">
      <w:pPr>
        <w:tabs>
          <w:tab w:val="left" w:pos="7660"/>
        </w:tabs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35B5A03" wp14:editId="12990D9E">
            <wp:simplePos x="0" y="0"/>
            <wp:positionH relativeFrom="margin">
              <wp:posOffset>1088390</wp:posOffset>
            </wp:positionH>
            <wp:positionV relativeFrom="margin">
              <wp:posOffset>7524750</wp:posOffset>
            </wp:positionV>
            <wp:extent cx="3239770" cy="1822450"/>
            <wp:effectExtent l="0" t="0" r="0" b="6350"/>
            <wp:wrapSquare wrapText="bothSides"/>
            <wp:docPr id="2" name="Picture 2" descr="Junk DNA” Affects Inherited Risk of Cancer | Technology Ne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k DNA” Affects Inherited Risk of Cancer | Technology Networ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82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7DE">
        <w:tab/>
      </w:r>
    </w:p>
    <w:p w:rsidR="00520F22" w:rsidRDefault="00520F22" w:rsidP="002D17DE">
      <w:pPr>
        <w:tabs>
          <w:tab w:val="left" w:pos="7660"/>
        </w:tabs>
      </w:pPr>
    </w:p>
    <w:p w:rsidR="00520F22" w:rsidRDefault="00520F22" w:rsidP="002D17DE">
      <w:pPr>
        <w:tabs>
          <w:tab w:val="left" w:pos="7660"/>
        </w:tabs>
        <w:rPr>
          <w:b/>
          <w:bCs/>
          <w:sz w:val="28"/>
        </w:rPr>
      </w:pPr>
    </w:p>
    <w:sectPr w:rsidR="00520F22" w:rsidSect="00461862">
      <w:headerReference w:type="default" r:id="rId11"/>
      <w:pgSz w:w="11906" w:h="16838"/>
      <w:pgMar w:top="1440" w:right="1440" w:bottom="1440" w:left="144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98C" w:rsidRDefault="00C3298C" w:rsidP="002D17DE">
      <w:pPr>
        <w:spacing w:after="0" w:line="240" w:lineRule="auto"/>
      </w:pPr>
      <w:r>
        <w:separator/>
      </w:r>
    </w:p>
  </w:endnote>
  <w:endnote w:type="continuationSeparator" w:id="0">
    <w:p w:rsidR="00C3298C" w:rsidRDefault="00C3298C" w:rsidP="002D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98C" w:rsidRDefault="00C3298C" w:rsidP="002D17DE">
      <w:pPr>
        <w:spacing w:after="0" w:line="240" w:lineRule="auto"/>
      </w:pPr>
      <w:r>
        <w:separator/>
      </w:r>
    </w:p>
  </w:footnote>
  <w:footnote w:type="continuationSeparator" w:id="0">
    <w:p w:rsidR="00C3298C" w:rsidRDefault="00C3298C" w:rsidP="002D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22" w:rsidRDefault="00461862">
    <w:pPr>
      <w:pStyle w:val="Header"/>
    </w:pPr>
    <w:r w:rsidRPr="003B54E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5A9858" wp14:editId="202DED5E">
          <wp:simplePos x="0" y="0"/>
          <wp:positionH relativeFrom="column">
            <wp:posOffset>4344670</wp:posOffset>
          </wp:positionH>
          <wp:positionV relativeFrom="paragraph">
            <wp:posOffset>53340</wp:posOffset>
          </wp:positionV>
          <wp:extent cx="1786255" cy="635000"/>
          <wp:effectExtent l="0" t="0" r="4445" b="0"/>
          <wp:wrapTight wrapText="bothSides">
            <wp:wrapPolygon edited="0">
              <wp:start x="0" y="0"/>
              <wp:lineTo x="0" y="20736"/>
              <wp:lineTo x="21423" y="20736"/>
              <wp:lineTo x="21423" y="0"/>
              <wp:lineTo x="0" y="0"/>
            </wp:wrapPolygon>
          </wp:wrapTight>
          <wp:docPr id="3" name="Picture 2" descr="X:\Genomic Medicine Service (GMS)\SWGLH logos\SWGLH_RGB_Righ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X:\Genomic Medicine Service (GMS)\SWGLH logos\SWGLH_RGB_Right Align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F22">
      <w:rPr>
        <w:noProof/>
        <w:lang w:eastAsia="en-GB"/>
      </w:rPr>
      <w:drawing>
        <wp:inline distT="0" distB="0" distL="0" distR="0" wp14:anchorId="449BE64F" wp14:editId="0365B627">
          <wp:extent cx="1479600" cy="752400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7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48A8A737" wp14:editId="776D5411">
          <wp:extent cx="2199573" cy="723166"/>
          <wp:effectExtent l="0" t="0" r="0" b="0"/>
          <wp:docPr id="10" name="Picture 10" descr="U:\1a_MelLaptop_Genomic medicine service\logos\SW Genomic Medicine Service Alliance right 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1a_MelLaptop_Genomic medicine service\logos\SW Genomic Medicine Service Alliance right align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599" cy="722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EC"/>
      </v:shape>
    </w:pict>
  </w:numPicBullet>
  <w:abstractNum w:abstractNumId="0" w15:restartNumberingAfterBreak="0">
    <w:nsid w:val="5D402728"/>
    <w:multiLevelType w:val="hybridMultilevel"/>
    <w:tmpl w:val="CCDA6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A3EAA"/>
    <w:multiLevelType w:val="hybridMultilevel"/>
    <w:tmpl w:val="80ACDCD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EC"/>
    <w:rsid w:val="00061230"/>
    <w:rsid w:val="00063855"/>
    <w:rsid w:val="000A665B"/>
    <w:rsid w:val="000A6A7B"/>
    <w:rsid w:val="001C30FF"/>
    <w:rsid w:val="002D17DE"/>
    <w:rsid w:val="0031298B"/>
    <w:rsid w:val="003B54EC"/>
    <w:rsid w:val="003F6B1F"/>
    <w:rsid w:val="00461862"/>
    <w:rsid w:val="00463308"/>
    <w:rsid w:val="004977E4"/>
    <w:rsid w:val="004E2D2B"/>
    <w:rsid w:val="00520F22"/>
    <w:rsid w:val="00572A52"/>
    <w:rsid w:val="00583433"/>
    <w:rsid w:val="00712552"/>
    <w:rsid w:val="00822B9C"/>
    <w:rsid w:val="008320AB"/>
    <w:rsid w:val="008D5E50"/>
    <w:rsid w:val="009413E1"/>
    <w:rsid w:val="00944066"/>
    <w:rsid w:val="00A13A27"/>
    <w:rsid w:val="00A40D5D"/>
    <w:rsid w:val="00BA48FE"/>
    <w:rsid w:val="00C3298C"/>
    <w:rsid w:val="00C52931"/>
    <w:rsid w:val="00C75968"/>
    <w:rsid w:val="00D81A9E"/>
    <w:rsid w:val="00DA5067"/>
    <w:rsid w:val="00DA50E6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FC9C4F-3CA8-4B1B-BF84-0413947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7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7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440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E"/>
  </w:style>
  <w:style w:type="paragraph" w:styleId="Footer">
    <w:name w:val="footer"/>
    <w:basedOn w:val="Normal"/>
    <w:link w:val="FooterChar"/>
    <w:uiPriority w:val="99"/>
    <w:unhideWhenUsed/>
    <w:rsid w:val="002D1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E"/>
  </w:style>
  <w:style w:type="paragraph" w:styleId="NormalWeb">
    <w:name w:val="Normal (Web)"/>
    <w:basedOn w:val="Normal"/>
    <w:uiPriority w:val="99"/>
    <w:semiHidden/>
    <w:unhideWhenUsed/>
    <w:rsid w:val="002D1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watson@nb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publication/national-genomic-test-director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Butler</dc:creator>
  <cp:lastModifiedBy>Kingshott Bethany (Royal Devon and Exeter Foundation Trust)</cp:lastModifiedBy>
  <cp:revision>2</cp:revision>
  <dcterms:created xsi:type="dcterms:W3CDTF">2021-10-18T12:59:00Z</dcterms:created>
  <dcterms:modified xsi:type="dcterms:W3CDTF">2021-10-18T12:59:00Z</dcterms:modified>
</cp:coreProperties>
</file>